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Default="00C47561" w:rsidP="00C47561">
      <w:pPr>
        <w:tabs>
          <w:tab w:val="left" w:pos="2892"/>
          <w:tab w:val="center" w:pos="5244"/>
        </w:tabs>
        <w:rPr>
          <w:b/>
        </w:rPr>
      </w:pPr>
      <w:r>
        <w:rPr>
          <w:b/>
        </w:rPr>
        <w:tab/>
      </w:r>
      <w:r w:rsidR="004028F0" w:rsidRPr="004028F0">
        <w:rPr>
          <w:b/>
        </w:rPr>
        <w:t>ENFEKSİYON ÖNLEME VE KONTROL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C87F0D" w:rsidRPr="007D0311" w:rsidRDefault="00C87F0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C47561" w:rsidRDefault="00C47561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C47561" w:rsidRDefault="00C47561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7561" w:rsidRDefault="00C47561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C87F0D">
        <w:trPr>
          <w:trHeight w:val="106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C47561" w:rsidRPr="00CB7313" w:rsidRDefault="00C47561" w:rsidP="00C4756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C87F0D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bookmarkStart w:id="0" w:name="_GoBack"/>
            <w:bookmarkEnd w:id="0"/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uruluşta yer alan diğer kullanım alanlarının, genel </w:t>
            </w:r>
            <w:proofErr w:type="gramStart"/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="00671E15"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FF4AD6" w:rsidRDefault="00FF4AD6" w:rsidP="00E61130"/>
    <w:p w:rsidR="002D1232" w:rsidRDefault="00C47561" w:rsidP="00E61130">
      <w:r>
        <w:t xml:space="preserve">   </w:t>
      </w:r>
      <w:r w:rsidR="002D1232">
        <w:t>Planı hazırlayan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6A2D9A">
        <w:tab/>
      </w:r>
      <w:r w:rsidR="002D1232">
        <w:t>Okul Müdürü</w:t>
      </w:r>
    </w:p>
    <w:p w:rsidR="002D1232" w:rsidRDefault="00C87F0D" w:rsidP="002D1232">
      <w:r>
        <w:t>Bayram YAMAN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      İbrahim USLU</w:t>
      </w:r>
    </w:p>
    <w:p w:rsidR="002D1232" w:rsidRDefault="00C87F0D" w:rsidP="002D1232">
      <w:r>
        <w:t xml:space="preserve">Müdür Yardımcısı                  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</w:t>
      </w:r>
      <w:r w:rsidR="002D1232"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C1" w:rsidRDefault="000723C1" w:rsidP="00CD4279">
      <w:pPr>
        <w:spacing w:after="0" w:line="240" w:lineRule="auto"/>
      </w:pPr>
      <w:r>
        <w:separator/>
      </w:r>
    </w:p>
  </w:endnote>
  <w:endnote w:type="continuationSeparator" w:id="0">
    <w:p w:rsidR="000723C1" w:rsidRDefault="000723C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C1" w:rsidRDefault="000723C1" w:rsidP="00CD4279">
      <w:pPr>
        <w:spacing w:after="0" w:line="240" w:lineRule="auto"/>
      </w:pPr>
      <w:r>
        <w:separator/>
      </w:r>
    </w:p>
  </w:footnote>
  <w:footnote w:type="continuationSeparator" w:id="0">
    <w:p w:rsidR="000723C1" w:rsidRDefault="000723C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446"/>
      <w:gridCol w:w="7778"/>
      <w:gridCol w:w="1251"/>
    </w:tblGrid>
    <w:tr w:rsidR="00C87F0D" w:rsidTr="001D2D78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87F0D" w:rsidRDefault="00C87F0D" w:rsidP="001D2D78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0E647DE" wp14:editId="5D5FE4B1">
                <wp:extent cx="771525" cy="704850"/>
                <wp:effectExtent l="0" t="0" r="9525" b="0"/>
                <wp:docPr id="2" name="Resim 2" descr="C:\Users\SavasCORDUKOGLU\Desktop\2022-2023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avasCORDUKOGLU\Desktop\2022-2023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87F0D" w:rsidRDefault="00C87F0D" w:rsidP="001D2D78">
          <w:pPr>
            <w:jc w:val="center"/>
          </w:pPr>
          <w:r>
            <w:rPr>
              <w:color w:val="FF0000"/>
            </w:rPr>
            <w:t>BULDAN AHMET NADİR ÖZLEN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87F0D" w:rsidRDefault="00C87F0D" w:rsidP="001D2D78">
          <w:pPr>
            <w:jc w:val="center"/>
          </w:pPr>
        </w:p>
      </w:tc>
    </w:tr>
  </w:tbl>
  <w:p w:rsidR="00B51147" w:rsidRPr="00C47561" w:rsidRDefault="00B51147" w:rsidP="00C475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3E04"/>
    <w:rsid w:val="00063AD4"/>
    <w:rsid w:val="000723C1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14FAE"/>
    <w:rsid w:val="00826989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47561"/>
    <w:rsid w:val="00C63749"/>
    <w:rsid w:val="00C87F0D"/>
    <w:rsid w:val="00CB7313"/>
    <w:rsid w:val="00CD0913"/>
    <w:rsid w:val="00CD31CE"/>
    <w:rsid w:val="00CD4279"/>
    <w:rsid w:val="00CD62FF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ANASINIFI</cp:lastModifiedBy>
  <cp:revision>3</cp:revision>
  <cp:lastPrinted>2021-06-17T09:32:00Z</cp:lastPrinted>
  <dcterms:created xsi:type="dcterms:W3CDTF">2023-08-16T07:53:00Z</dcterms:created>
  <dcterms:modified xsi:type="dcterms:W3CDTF">2023-08-16T07:57:00Z</dcterms:modified>
</cp:coreProperties>
</file>